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E" w:rsidRPr="003675DB" w:rsidRDefault="009D7D7E" w:rsidP="009D7D7E">
      <w:pPr>
        <w:jc w:val="both"/>
        <w:rPr>
          <w:rFonts w:ascii="Corbel" w:hAnsi="Corbel"/>
          <w:sz w:val="20"/>
          <w:szCs w:val="20"/>
        </w:rPr>
      </w:pPr>
      <w:r w:rsidRPr="003675DB">
        <w:rPr>
          <w:rFonts w:ascii="Corbel" w:hAnsi="Corbel"/>
          <w:noProof/>
          <w:sz w:val="20"/>
          <w:szCs w:val="20"/>
          <w:lang w:eastAsia="es-CL"/>
        </w:rPr>
        <w:drawing>
          <wp:anchor distT="0" distB="0" distL="114300" distR="114300" simplePos="0" relativeHeight="251659264" behindDoc="0" locked="0" layoutInCell="1" allowOverlap="1" wp14:anchorId="09BE4048" wp14:editId="62B4C13A">
            <wp:simplePos x="0" y="0"/>
            <wp:positionH relativeFrom="margin">
              <wp:align>right</wp:align>
            </wp:positionH>
            <wp:positionV relativeFrom="margin">
              <wp:posOffset>9525</wp:posOffset>
            </wp:positionV>
            <wp:extent cx="1494155" cy="866775"/>
            <wp:effectExtent l="0" t="0" r="0" b="0"/>
            <wp:wrapSquare wrapText="bothSides"/>
            <wp:docPr id="1" name="Imagen 1" descr="D:\Usuarios\gmunozr\Desktop\PARTICIPACIÓN CIUDADANA\logoparticip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gmunozr\Desktop\PARTICIPACIÓN CIUDADANA\logoparticipac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35" cy="869483"/>
                    </a:xfrm>
                    <a:prstGeom prst="rect">
                      <a:avLst/>
                    </a:prstGeom>
                    <a:noFill/>
                    <a:ln>
                      <a:noFill/>
                    </a:ln>
                  </pic:spPr>
                </pic:pic>
              </a:graphicData>
            </a:graphic>
            <wp14:sizeRelV relativeFrom="margin">
              <wp14:pctHeight>0</wp14:pctHeight>
            </wp14:sizeRelV>
          </wp:anchor>
        </w:drawing>
      </w:r>
      <w:r w:rsidRPr="003675DB">
        <w:rPr>
          <w:rFonts w:ascii="Corbel" w:hAnsi="Corbel"/>
          <w:noProof/>
          <w:sz w:val="20"/>
          <w:szCs w:val="20"/>
          <w:lang w:eastAsia="es-CL"/>
        </w:rPr>
        <w:drawing>
          <wp:inline distT="0" distB="0" distL="0" distR="0" wp14:anchorId="4B65BB51" wp14:editId="18CFE5D3">
            <wp:extent cx="792480" cy="7251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25170"/>
                    </a:xfrm>
                    <a:prstGeom prst="rect">
                      <a:avLst/>
                    </a:prstGeom>
                    <a:noFill/>
                  </pic:spPr>
                </pic:pic>
              </a:graphicData>
            </a:graphic>
          </wp:inline>
        </w:drawing>
      </w:r>
      <w:r w:rsidRPr="003675DB">
        <w:rPr>
          <w:rFonts w:ascii="Corbel" w:hAnsi="Corbel"/>
          <w:sz w:val="20"/>
          <w:szCs w:val="20"/>
        </w:rPr>
        <w:t xml:space="preserve">                                                                                                     </w:t>
      </w:r>
      <w:proofErr w:type="gramStart"/>
      <w:r w:rsidR="00DD6341">
        <w:rPr>
          <w:rFonts w:ascii="Corbel" w:hAnsi="Corbel"/>
          <w:sz w:val="20"/>
          <w:szCs w:val="20"/>
        </w:rPr>
        <w:t>ACTA :</w:t>
      </w:r>
      <w:proofErr w:type="gramEnd"/>
    </w:p>
    <w:p w:rsidR="009D7D7E" w:rsidRPr="003675DB" w:rsidRDefault="009D7D7E" w:rsidP="009D7D7E">
      <w:pPr>
        <w:jc w:val="both"/>
        <w:rPr>
          <w:rFonts w:ascii="Corbel" w:hAnsi="Corbel"/>
          <w:sz w:val="20"/>
          <w:szCs w:val="20"/>
        </w:rPr>
      </w:pPr>
    </w:p>
    <w:tbl>
      <w:tblPr>
        <w:tblStyle w:val="GridTable5DarkAccent1"/>
        <w:tblW w:w="0" w:type="auto"/>
        <w:tblLook w:val="04A0" w:firstRow="1" w:lastRow="0" w:firstColumn="1" w:lastColumn="0" w:noHBand="0" w:noVBand="1"/>
      </w:tblPr>
      <w:tblGrid>
        <w:gridCol w:w="1980"/>
        <w:gridCol w:w="6848"/>
      </w:tblGrid>
      <w:tr w:rsidR="009D7D7E" w:rsidRPr="003675DB" w:rsidTr="009B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MATERIA</w:t>
            </w:r>
          </w:p>
        </w:tc>
        <w:tc>
          <w:tcPr>
            <w:tcW w:w="6848" w:type="dxa"/>
          </w:tcPr>
          <w:p w:rsidR="009D7D7E" w:rsidRPr="003675DB" w:rsidRDefault="009D7D7E" w:rsidP="009B0EE5">
            <w:pPr>
              <w:jc w:val="both"/>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sidRPr="003675DB">
              <w:rPr>
                <w:rFonts w:ascii="Corbel" w:hAnsi="Corbel"/>
                <w:sz w:val="20"/>
                <w:szCs w:val="20"/>
              </w:rPr>
              <w:t>PARTICIPACIÓN CIUDADANA: CONSEJO DE LA SOCIEDAD CIVIL</w:t>
            </w:r>
          </w:p>
        </w:tc>
      </w:tr>
      <w:tr w:rsidR="009D7D7E" w:rsidRPr="003675DB" w:rsidTr="009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FECHA</w:t>
            </w:r>
          </w:p>
        </w:tc>
        <w:tc>
          <w:tcPr>
            <w:tcW w:w="6848" w:type="dxa"/>
          </w:tcPr>
          <w:p w:rsidR="009D7D7E" w:rsidRPr="003675DB" w:rsidRDefault="0071084D" w:rsidP="009B0EE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Pr>
                <w:rFonts w:ascii="Corbel" w:hAnsi="Corbel"/>
                <w:sz w:val="20"/>
                <w:szCs w:val="20"/>
              </w:rPr>
              <w:t>28 de Noviembre del 2019</w:t>
            </w:r>
          </w:p>
        </w:tc>
      </w:tr>
      <w:tr w:rsidR="009D7D7E" w:rsidRPr="003675DB" w:rsidTr="009B0EE5">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 xml:space="preserve">ASUNTO </w:t>
            </w:r>
          </w:p>
        </w:tc>
        <w:tc>
          <w:tcPr>
            <w:tcW w:w="6848" w:type="dxa"/>
          </w:tcPr>
          <w:p w:rsidR="009D7D7E" w:rsidRPr="003675DB" w:rsidRDefault="00DD6341" w:rsidP="00FB2D16">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Pr>
                <w:rFonts w:ascii="Corbel" w:hAnsi="Corbel"/>
                <w:sz w:val="20"/>
                <w:szCs w:val="20"/>
              </w:rPr>
              <w:t>Reunión Cons</w:t>
            </w:r>
            <w:r w:rsidR="0071084D">
              <w:rPr>
                <w:rFonts w:ascii="Corbel" w:hAnsi="Corbel"/>
                <w:sz w:val="20"/>
                <w:szCs w:val="20"/>
              </w:rPr>
              <w:t>ejeros COSOC con Director Regional del SERVIU Biobío</w:t>
            </w:r>
          </w:p>
        </w:tc>
      </w:tr>
    </w:tbl>
    <w:p w:rsidR="009D7D7E" w:rsidRPr="003675DB" w:rsidRDefault="009D7D7E"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3675DB">
        <w:rPr>
          <w:rFonts w:ascii="Corbel" w:hAnsi="Corbel"/>
          <w:sz w:val="20"/>
          <w:szCs w:val="20"/>
        </w:rPr>
        <w:t>LUGAR</w:t>
      </w:r>
      <w:r w:rsidRPr="003675DB">
        <w:rPr>
          <w:rFonts w:ascii="Corbel" w:hAnsi="Corbel"/>
          <w:sz w:val="20"/>
          <w:szCs w:val="20"/>
        </w:rPr>
        <w:tab/>
        <w:t xml:space="preserve">: </w:t>
      </w:r>
      <w:r w:rsidR="0071084D">
        <w:rPr>
          <w:rFonts w:ascii="Corbel" w:hAnsi="Corbel"/>
          <w:sz w:val="20"/>
          <w:szCs w:val="20"/>
        </w:rPr>
        <w:t xml:space="preserve">Sala de Reuniones SERVIU Región del </w:t>
      </w:r>
      <w:proofErr w:type="spellStart"/>
      <w:r w:rsidR="0071084D">
        <w:rPr>
          <w:rFonts w:ascii="Corbel" w:hAnsi="Corbel"/>
          <w:sz w:val="20"/>
          <w:szCs w:val="20"/>
        </w:rPr>
        <w:t>Biobio</w:t>
      </w:r>
      <w:proofErr w:type="spellEnd"/>
      <w:r w:rsidR="0071084D">
        <w:rPr>
          <w:rFonts w:ascii="Corbel" w:hAnsi="Corbel"/>
          <w:sz w:val="20"/>
          <w:szCs w:val="20"/>
        </w:rPr>
        <w:t>, 1er piso</w:t>
      </w:r>
    </w:p>
    <w:p w:rsidR="009D7D7E" w:rsidRPr="003675DB" w:rsidRDefault="009D7D7E" w:rsidP="009D7D7E">
      <w:pPr>
        <w:jc w:val="both"/>
        <w:rPr>
          <w:rFonts w:ascii="Corbel" w:hAnsi="Corbel"/>
          <w:sz w:val="20"/>
          <w:szCs w:val="20"/>
        </w:rPr>
      </w:pPr>
      <w:r w:rsidRPr="003675DB">
        <w:rPr>
          <w:rFonts w:ascii="Corbel" w:hAnsi="Corbel"/>
          <w:sz w:val="20"/>
          <w:szCs w:val="20"/>
        </w:rPr>
        <w:t>HORA INICIO:</w:t>
      </w:r>
      <w:r w:rsidR="00DC0B83">
        <w:rPr>
          <w:rFonts w:ascii="Corbel" w:hAnsi="Corbel"/>
          <w:sz w:val="20"/>
          <w:szCs w:val="20"/>
        </w:rPr>
        <w:t xml:space="preserve"> 17</w:t>
      </w:r>
      <w:r w:rsidR="00DD6341">
        <w:rPr>
          <w:rFonts w:ascii="Corbel" w:hAnsi="Corbel"/>
          <w:sz w:val="20"/>
          <w:szCs w:val="20"/>
        </w:rPr>
        <w:t>:00</w:t>
      </w:r>
    </w:p>
    <w:p w:rsidR="009D7D7E" w:rsidRPr="003675DB" w:rsidRDefault="009D7D7E" w:rsidP="009D7D7E">
      <w:pPr>
        <w:jc w:val="both"/>
        <w:rPr>
          <w:rFonts w:ascii="Corbel" w:hAnsi="Corbel"/>
          <w:sz w:val="20"/>
          <w:szCs w:val="20"/>
        </w:rPr>
      </w:pPr>
      <w:r w:rsidRPr="00FB2D16">
        <w:rPr>
          <w:rFonts w:ascii="Corbel" w:hAnsi="Corbel"/>
          <w:sz w:val="20"/>
          <w:szCs w:val="20"/>
          <w:u w:val="single"/>
        </w:rPr>
        <w:t>PARTICIPANTES</w:t>
      </w:r>
      <w:r w:rsidRPr="003675DB">
        <w:rPr>
          <w:rFonts w:ascii="Corbel" w:hAnsi="Corbel"/>
          <w:sz w:val="20"/>
          <w:szCs w:val="20"/>
        </w:rPr>
        <w:t>: Se adjunta lista de asistencia</w:t>
      </w:r>
    </w:p>
    <w:p w:rsidR="00FB2D16" w:rsidRDefault="00FB2D16" w:rsidP="009D7D7E">
      <w:pPr>
        <w:jc w:val="both"/>
        <w:rPr>
          <w:rFonts w:ascii="Corbel" w:hAnsi="Corbel"/>
          <w:sz w:val="20"/>
          <w:szCs w:val="20"/>
        </w:rPr>
      </w:pPr>
    </w:p>
    <w:p w:rsidR="009D7D7E" w:rsidRDefault="00FB2D16" w:rsidP="009D7D7E">
      <w:pPr>
        <w:jc w:val="both"/>
        <w:rPr>
          <w:rFonts w:ascii="Corbel" w:hAnsi="Corbel"/>
          <w:sz w:val="20"/>
          <w:szCs w:val="20"/>
        </w:rPr>
      </w:pPr>
      <w:r>
        <w:rPr>
          <w:rFonts w:ascii="Corbel" w:hAnsi="Corbel"/>
          <w:noProof/>
          <w:sz w:val="20"/>
          <w:szCs w:val="20"/>
          <w:u w:val="single"/>
          <w:lang w:eastAsia="es-CL"/>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266700</wp:posOffset>
                </wp:positionV>
                <wp:extent cx="6153150" cy="10001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6153150" cy="1000125"/>
                        </a:xfrm>
                        <a:prstGeom prst="rect">
                          <a:avLst/>
                        </a:prstGeom>
                        <a:solidFill>
                          <a:schemeClr val="lt1"/>
                        </a:solidFill>
                        <a:ln w="6350">
                          <a:solidFill>
                            <a:prstClr val="black"/>
                          </a:solidFill>
                        </a:ln>
                      </wps:spPr>
                      <wps:txbx>
                        <w:txbxContent>
                          <w:p w:rsidR="00FB2D16" w:rsidRDefault="00C81966">
                            <w:r>
                              <w:t>No hay</w:t>
                            </w:r>
                            <w:bookmarkStart w:id="0" w:name="_GoBack"/>
                            <w:bookmarkEnd w:id="0"/>
                          </w:p>
                          <w:p w:rsidR="00FB2D16" w:rsidRDefault="00FB2D16"/>
                          <w:p w:rsidR="00FB2D16" w:rsidRDefault="00FB2D16"/>
                          <w:p w:rsidR="00FB2D16" w:rsidRDefault="00FB2D16"/>
                          <w:p w:rsidR="00FB2D16" w:rsidRDefault="00FB2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2pt;margin-top:21pt;width:484.5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" fillcolor="white [3201]" strokeweight=".5pt">
                <v:textbox>
                  <w:txbxContent>
                    <w:p w:rsidR="00FB2D16" w:rsidRDefault="00C81966">
                      <w:r>
                        <w:t>No hay</w:t>
                      </w:r>
                      <w:bookmarkStart w:id="1" w:name="_GoBack"/>
                      <w:bookmarkEnd w:id="1"/>
                    </w:p>
                    <w:p w:rsidR="00FB2D16" w:rsidRDefault="00FB2D16"/>
                    <w:p w:rsidR="00FB2D16" w:rsidRDefault="00FB2D16"/>
                    <w:p w:rsidR="00FB2D16" w:rsidRDefault="00FB2D16"/>
                    <w:p w:rsidR="00FB2D16" w:rsidRDefault="00FB2D16"/>
                  </w:txbxContent>
                </v:textbox>
              </v:shape>
            </w:pict>
          </mc:Fallback>
        </mc:AlternateContent>
      </w:r>
      <w:r w:rsidR="009D7D7E" w:rsidRPr="00FB2D16">
        <w:rPr>
          <w:rFonts w:ascii="Corbel" w:hAnsi="Corbel"/>
          <w:sz w:val="20"/>
          <w:szCs w:val="20"/>
          <w:u w:val="single"/>
        </w:rPr>
        <w:t>EXCUSAS</w:t>
      </w:r>
      <w:r w:rsidR="009D7D7E" w:rsidRPr="003675DB">
        <w:rPr>
          <w:rFonts w:ascii="Corbel" w:hAnsi="Corbel"/>
          <w:sz w:val="20"/>
          <w:szCs w:val="20"/>
        </w:rPr>
        <w:t>:</w:t>
      </w: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Pr="003675DB" w:rsidRDefault="00FB2D16"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FB2D16">
        <w:rPr>
          <w:rFonts w:ascii="Corbel" w:hAnsi="Corbel"/>
          <w:sz w:val="20"/>
          <w:szCs w:val="20"/>
          <w:u w:val="single"/>
        </w:rPr>
        <w:t>DESARROLLO</w:t>
      </w:r>
      <w:r w:rsidRPr="003675DB">
        <w:rPr>
          <w:rFonts w:ascii="Corbel" w:hAnsi="Corbel"/>
          <w:sz w:val="20"/>
          <w:szCs w:val="20"/>
        </w:rPr>
        <w:t>:</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72390</wp:posOffset>
                </wp:positionV>
                <wp:extent cx="6324600" cy="55435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6324600" cy="5543550"/>
                        </a:xfrm>
                        <a:prstGeom prst="rect">
                          <a:avLst/>
                        </a:prstGeom>
                        <a:solidFill>
                          <a:schemeClr val="lt1"/>
                        </a:solidFill>
                        <a:ln w="6350">
                          <a:solidFill>
                            <a:prstClr val="black"/>
                          </a:solidFill>
                        </a:ln>
                      </wps:spPr>
                      <wps:txbx>
                        <w:txbxContent>
                          <w:p w:rsidR="00FB2D16" w:rsidRDefault="00DC0B83" w:rsidP="00B304D1">
                            <w:pPr>
                              <w:jc w:val="both"/>
                            </w:pPr>
                            <w:r>
                              <w:t>1.- Se Presentan los Integrantes del Consejo de la Sociedad Civil Provincia de Concepción, y plantean las Temáticas de carácter relevante que serán abordadas durante el Año 2019.</w:t>
                            </w:r>
                          </w:p>
                          <w:p w:rsidR="00DC0B83" w:rsidRDefault="00DC0B83" w:rsidP="00B304D1">
                            <w:pPr>
                              <w:jc w:val="both"/>
                            </w:pPr>
                            <w:r>
                              <w:t>2.- Se informa en relación al Plan de Trabajo Año 2019, y cuáles son las Áreas de Trabajo que fueron priorizadas por el COSOC.</w:t>
                            </w:r>
                          </w:p>
                          <w:p w:rsidR="00DC0B83" w:rsidRDefault="00DC0B83" w:rsidP="00B304D1">
                            <w:r>
                              <w:t xml:space="preserve">3.- Respecto del funcionamiento del COSOC MINVU – SERVIU, se realiza consulta en relación a </w:t>
                            </w:r>
                            <w:r w:rsidR="00B304D1">
                              <w:t>las</w:t>
                            </w:r>
                            <w:r>
                              <w:t xml:space="preserve"> siguientes materias:</w:t>
                            </w:r>
                          </w:p>
                          <w:p w:rsidR="00DC0B83" w:rsidRDefault="00DC0B83" w:rsidP="00DC0B83">
                            <w:pPr>
                              <w:pStyle w:val="Prrafodelista"/>
                              <w:numPr>
                                <w:ilvl w:val="0"/>
                                <w:numId w:val="7"/>
                              </w:numPr>
                            </w:pPr>
                            <w:r>
                              <w:t>Financiamiento de Actividades (Seminarios)</w:t>
                            </w:r>
                          </w:p>
                          <w:p w:rsidR="00DC0B83" w:rsidRDefault="00DC0B83" w:rsidP="00DC0B83">
                            <w:pPr>
                              <w:pStyle w:val="Prrafodelista"/>
                              <w:numPr>
                                <w:ilvl w:val="0"/>
                                <w:numId w:val="7"/>
                              </w:numPr>
                            </w:pPr>
                            <w:r>
                              <w:t>Gastos de Representación</w:t>
                            </w:r>
                          </w:p>
                          <w:p w:rsidR="00B304D1" w:rsidRDefault="00B304D1" w:rsidP="00B304D1">
                            <w:r>
                              <w:t>En relación a estos puntos, el Director señala que debe ser evaluada su factibilidad Legal, ya que el Servicio tiene restricciones en temas de financiamiento.</w:t>
                            </w:r>
                          </w:p>
                          <w:p w:rsidR="00B304D1" w:rsidRDefault="00B304D1" w:rsidP="00B304D1">
                            <w:r>
                              <w:t xml:space="preserve">4.- Se señala la importancia de mejorar la Comunicación Interna para mejorar la Difusión de las Actividades del COSOC y de sus integrantes. </w:t>
                            </w:r>
                          </w:p>
                          <w:p w:rsidR="00B304D1" w:rsidRDefault="00B304D1" w:rsidP="00B304D1">
                            <w:r>
                              <w:t>5.- Respecto a la Participación Ciudadana vinculada a la Planificación Urbana, se informa que en el mes de Agosto del 2018 entró en vigencia una Ley que establece que debe ser la consultada la Ciudadana desde el inicio de los procesos de Modificación de los Planes Reguladores. Adicionalmente se informa sobre la Nueva Ley de Aportes al Espacio Público.</w:t>
                            </w:r>
                          </w:p>
                          <w:p w:rsidR="00B304D1" w:rsidRDefault="00B304D1" w:rsidP="00B304D1">
                            <w:r>
                              <w:t xml:space="preserve">6.- El Dirigente Sr. Marcelo de la  Fuentes, señala la importancia de evaluar la factibilidad de condonar deudas con Entidades Financieras, a los beneficiarios del Programa D.S. 04 del 2009, </w:t>
                            </w:r>
                            <w:r w:rsidR="00C81966">
                              <w:t>y en particular aquellos que fueron están afectados por Incapacidad Laboral.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0;margin-top:5.7pt;width:498pt;height:43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" fillcolor="white [3201]" strokeweight=".5pt">
                <v:textbox>
                  <w:txbxContent>
                    <w:p w:rsidR="00FB2D16" w:rsidRDefault="00DC0B83" w:rsidP="00B304D1">
                      <w:pPr>
                        <w:jc w:val="both"/>
                      </w:pPr>
                      <w:r>
                        <w:t>1.- Se Presentan los Integrantes del Consejo de la Sociedad Civil Provincia de Concepción, y plantean las Temáticas de carácter relevante que serán abordadas durante el Año 2019.</w:t>
                      </w:r>
                    </w:p>
                    <w:p w:rsidR="00DC0B83" w:rsidRDefault="00DC0B83" w:rsidP="00B304D1">
                      <w:pPr>
                        <w:jc w:val="both"/>
                      </w:pPr>
                      <w:r>
                        <w:t>2.- Se informa en relación al Plan de Trabajo Año 2019, y cuáles son las Áreas de Trabajo que fueron priorizadas por el COSOC.</w:t>
                      </w:r>
                    </w:p>
                    <w:p w:rsidR="00DC0B83" w:rsidRDefault="00DC0B83" w:rsidP="00B304D1">
                      <w:r>
                        <w:t xml:space="preserve">3.- Respecto del funcionamiento del COSOC MINVU – SERVIU, se realiza consulta en relación a </w:t>
                      </w:r>
                      <w:r w:rsidR="00B304D1">
                        <w:t>las</w:t>
                      </w:r>
                      <w:r>
                        <w:t xml:space="preserve"> siguientes materias:</w:t>
                      </w:r>
                    </w:p>
                    <w:p w:rsidR="00DC0B83" w:rsidRDefault="00DC0B83" w:rsidP="00DC0B83">
                      <w:pPr>
                        <w:pStyle w:val="Prrafodelista"/>
                        <w:numPr>
                          <w:ilvl w:val="0"/>
                          <w:numId w:val="7"/>
                        </w:numPr>
                      </w:pPr>
                      <w:r>
                        <w:t>Financiamiento de Actividades (Seminarios)</w:t>
                      </w:r>
                    </w:p>
                    <w:p w:rsidR="00DC0B83" w:rsidRDefault="00DC0B83" w:rsidP="00DC0B83">
                      <w:pPr>
                        <w:pStyle w:val="Prrafodelista"/>
                        <w:numPr>
                          <w:ilvl w:val="0"/>
                          <w:numId w:val="7"/>
                        </w:numPr>
                      </w:pPr>
                      <w:r>
                        <w:t>Gastos de Representación</w:t>
                      </w:r>
                    </w:p>
                    <w:p w:rsidR="00B304D1" w:rsidRDefault="00B304D1" w:rsidP="00B304D1">
                      <w:r>
                        <w:t>En relación a estos puntos, el Director señala que debe ser evaluada su factibilidad Legal, ya que el Servicio tiene restricciones en temas de financiamiento.</w:t>
                      </w:r>
                    </w:p>
                    <w:p w:rsidR="00B304D1" w:rsidRDefault="00B304D1" w:rsidP="00B304D1">
                      <w:r>
                        <w:t xml:space="preserve">4.- Se señala la importancia de mejorar la Comunicación Interna para mejorar la Difusión de las Actividades del COSOC y de sus integrantes. </w:t>
                      </w:r>
                    </w:p>
                    <w:p w:rsidR="00B304D1" w:rsidRDefault="00B304D1" w:rsidP="00B304D1">
                      <w:r>
                        <w:t>5.- Respecto a la Participación Ciudadana vinculada a la Planificación Urbana, se informa que en el mes de Agosto del 2018 entró en vigencia una Ley que establece que debe ser la consultada la Ciudadana desde el inicio de los procesos de Modificación de los Planes Reguladores. Adicionalmente se informa sobre la Nueva Ley de Aportes al Espacio Público.</w:t>
                      </w:r>
                    </w:p>
                    <w:p w:rsidR="00B304D1" w:rsidRDefault="00B304D1" w:rsidP="00B304D1">
                      <w:r>
                        <w:t xml:space="preserve">6.- El Dirigente Sr. Marcelo de la  Fuentes, señala la importancia de evaluar la factibilidad de condonar deudas con Entidades Financieras, a los beneficiarios del Programa D.S. 04 del 2009, </w:t>
                      </w:r>
                      <w:r w:rsidR="00C81966">
                        <w:t>y en particular aquellos que fueron están afectados por Incapacidad Laboral.</w:t>
                      </w:r>
                    </w:p>
                  </w:txbxContent>
                </v:textbox>
                <w10:wrap anchorx="margin"/>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D0FA9" w:rsidP="009D7D7E">
      <w:pPr>
        <w:rPr>
          <w:rFonts w:ascii="Corbel" w:hAnsi="Corbel"/>
          <w:sz w:val="20"/>
          <w:szCs w:val="20"/>
        </w:rPr>
      </w:pPr>
      <w:r>
        <w:rPr>
          <w:rFonts w:ascii="Corbel" w:hAnsi="Corbel"/>
          <w:noProof/>
          <w:sz w:val="20"/>
          <w:szCs w:val="20"/>
          <w:lang w:eastAsia="es-CL"/>
        </w:rPr>
        <w:lastRenderedPageBreak/>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-194945</wp:posOffset>
                </wp:positionV>
                <wp:extent cx="5886450" cy="66675"/>
                <wp:effectExtent l="0" t="0" r="19050" b="28575"/>
                <wp:wrapNone/>
                <wp:docPr id="5" name="Cuadro de texto 5"/>
                <wp:cNvGraphicFramePr/>
                <a:graphic xmlns:a="http://schemas.openxmlformats.org/drawingml/2006/main">
                  <a:graphicData uri="http://schemas.microsoft.com/office/word/2010/wordprocessingShape">
                    <wps:wsp>
                      <wps:cNvSpPr txBox="1"/>
                      <wps:spPr>
                        <a:xfrm flipV="1">
                          <a:off x="0" y="0"/>
                          <a:ext cx="5886450" cy="66675"/>
                        </a:xfrm>
                        <a:prstGeom prst="rect">
                          <a:avLst/>
                        </a:prstGeom>
                        <a:solidFill>
                          <a:schemeClr val="lt1"/>
                        </a:solidFill>
                        <a:ln w="6350">
                          <a:solidFill>
                            <a:prstClr val="black"/>
                          </a:solidFill>
                        </a:ln>
                      </wps:spPr>
                      <wps:txbx>
                        <w:txbxContent>
                          <w:p w:rsidR="00FD0FA9" w:rsidRDefault="00FD0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5" o:spid="_x0000_s1028" type="#_x0000_t202" style="position:absolute;margin-left:-1.05pt;margin-top:-15.35pt;width:463.5pt;height:5.25p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" fillcolor="white [3201]" strokeweight=".5pt">
                <v:textbox>
                  <w:txbxContent>
                    <w:p w:rsidR="00FD0FA9" w:rsidRDefault="00FD0FA9"/>
                  </w:txbxContent>
                </v:textbox>
              </v:shape>
            </w:pict>
          </mc:Fallback>
        </mc:AlternateContent>
      </w:r>
    </w:p>
    <w:p w:rsidR="00FB2D16" w:rsidRDefault="00FB2D16" w:rsidP="009D7D7E">
      <w:pPr>
        <w:rPr>
          <w:rFonts w:ascii="Corbel" w:hAnsi="Corbel"/>
          <w:sz w:val="20"/>
          <w:szCs w:val="20"/>
        </w:rPr>
      </w:pPr>
      <w:r w:rsidRPr="00FB2D16">
        <w:rPr>
          <w:rFonts w:ascii="Corbel" w:hAnsi="Corbel"/>
          <w:sz w:val="20"/>
          <w:szCs w:val="20"/>
          <w:u w:val="single"/>
        </w:rPr>
        <w:t>PRINCIPALES ACUERDOS Y COMPROMISOS</w:t>
      </w:r>
      <w:r>
        <w:rPr>
          <w:rFonts w:ascii="Corbel" w:hAnsi="Corbel"/>
          <w:sz w:val="20"/>
          <w:szCs w:val="20"/>
        </w:rPr>
        <w:t xml:space="preserve"> (NO REGISTRADOS EN EL DESARROLLO):</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92710</wp:posOffset>
                </wp:positionV>
                <wp:extent cx="5886450" cy="321945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5886450" cy="3219450"/>
                        </a:xfrm>
                        <a:prstGeom prst="rect">
                          <a:avLst/>
                        </a:prstGeom>
                        <a:solidFill>
                          <a:schemeClr val="lt1"/>
                        </a:solidFill>
                        <a:ln w="6350">
                          <a:solidFill>
                            <a:prstClr val="black"/>
                          </a:solidFill>
                        </a:ln>
                      </wps:spPr>
                      <wps:txbx>
                        <w:txbxContent>
                          <w:p w:rsidR="00C81966" w:rsidRDefault="00C81966">
                            <w:r>
                              <w:t>1.- Se gestionará Pronunciamiento del Departamento Jurídico, en relación al Financiamiento de las Actividades del COSOC.</w:t>
                            </w:r>
                          </w:p>
                          <w:p w:rsidR="00C81966" w:rsidRDefault="00C81966">
                            <w:r>
                              <w:t>2.- Se Gestionará con el Equipo de Comunicaciones del SERVIU, la Difusión de las Actividades del COSOC MINVU – SERVIU</w:t>
                            </w:r>
                          </w:p>
                          <w:p w:rsidR="00FD0FA9" w:rsidRDefault="00C81966" w:rsidP="00C81966">
                            <w:pPr>
                              <w:jc w:val="both"/>
                            </w:pPr>
                            <w:r>
                              <w:t>3.- En atención a solicitud expresa de la Dirigente Sra. Luisa Uribe Vega, se realizarán consultas al interior del Servicio y DOM Municipal de San Pedro, en relación a la existencia de Proyectos Habitacionales  en el Área que comprende la Ruta 160.</w:t>
                            </w:r>
                          </w:p>
                          <w:p w:rsidR="00C81966" w:rsidRDefault="00C81966" w:rsidP="00C81966">
                            <w:pPr>
                              <w:jc w:val="both"/>
                            </w:pPr>
                            <w:r>
                              <w:t>4.- En cuanto al Programa. D.S. 04 /2009 de V. y U. se realizarán consultas a la SEREMI de Salud, respectos a gestiones que se hayan realizado, para abordar la situación de los beneficiarios de este Programa, y que actualmente son deudores de la Banca Privada.</w:t>
                            </w:r>
                          </w:p>
                          <w:p w:rsidR="00C81966" w:rsidRDefault="00C81966" w:rsidP="00C81966">
                            <w:pPr>
                              <w:jc w:val="both"/>
                            </w:pPr>
                            <w:r>
                              <w:t>5.- Se enviará Plan de Expropiaciones Año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 o:spid="_x0000_s1029" type="#_x0000_t202" style="position:absolute;margin-left:.45pt;margin-top:7.3pt;width:463.5pt;height:2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" fillcolor="white [3201]" strokeweight=".5pt">
                <v:textbox>
                  <w:txbxContent>
                    <w:p w:rsidR="00C81966" w:rsidRDefault="00C81966">
                      <w:r>
                        <w:t>1.- Se gestionará Pronunciamiento del Departamento Jurídico, en relación al Financiamiento de las Actividades del COSOC.</w:t>
                      </w:r>
                    </w:p>
                    <w:p w:rsidR="00C81966" w:rsidRDefault="00C81966">
                      <w:r>
                        <w:t>2.- Se Gestionará con el Equipo de Comunicaciones del SERVIU, la Difusión de las Actividades del COSOC MINVU – SERVIU</w:t>
                      </w:r>
                    </w:p>
                    <w:p w:rsidR="00FD0FA9" w:rsidRDefault="00C81966" w:rsidP="00C81966">
                      <w:pPr>
                        <w:jc w:val="both"/>
                      </w:pPr>
                      <w:r>
                        <w:t>3.- En atención a solicitud expresa de la Dirigente Sra. Luisa Uribe Vega, se realizarán consultas al interior del Servicio y DOM Municipal de San Pedro, en relación a la existencia de Proyectos Habitacionales  en el Área que comprende la Ruta 160.</w:t>
                      </w:r>
                    </w:p>
                    <w:p w:rsidR="00C81966" w:rsidRDefault="00C81966" w:rsidP="00C81966">
                      <w:pPr>
                        <w:jc w:val="both"/>
                      </w:pPr>
                      <w:r>
                        <w:t>4.- En cuanto al Programa. D.S. 04 /2009 de V. y U. se realizarán consultas a la SEREMI de Salud, respectos a gestiones que se hayan realizado, para abordar la situación de los beneficiarios de este Programa, y que actualmente son deudores de la Banca Privada.</w:t>
                      </w:r>
                    </w:p>
                    <w:p w:rsidR="00C81966" w:rsidRDefault="00C81966" w:rsidP="00C81966">
                      <w:pPr>
                        <w:jc w:val="both"/>
                      </w:pPr>
                      <w:r>
                        <w:t>5.- Se enviará Plan de Expropiaciones Año 2019</w:t>
                      </w:r>
                    </w:p>
                  </w:txbxContent>
                </v:textbox>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D0FA9" w:rsidRDefault="00FD0FA9" w:rsidP="009D7D7E">
      <w:pPr>
        <w:rPr>
          <w:rFonts w:ascii="Corbel" w:hAnsi="Corbel"/>
          <w:sz w:val="20"/>
          <w:szCs w:val="20"/>
        </w:rPr>
      </w:pPr>
    </w:p>
    <w:p w:rsidR="009D7D7E" w:rsidRPr="003675DB" w:rsidRDefault="00FD0FA9" w:rsidP="009D7D7E">
      <w:pPr>
        <w:rPr>
          <w:rFonts w:ascii="Corbel" w:hAnsi="Corbel"/>
          <w:sz w:val="20"/>
          <w:szCs w:val="20"/>
        </w:rPr>
      </w:pPr>
      <w:r>
        <w:rPr>
          <w:rFonts w:ascii="Corbel" w:hAnsi="Corbel"/>
          <w:sz w:val="20"/>
          <w:szCs w:val="20"/>
        </w:rPr>
        <w:t>HO</w:t>
      </w:r>
      <w:r w:rsidR="009D7D7E" w:rsidRPr="003675DB">
        <w:rPr>
          <w:rFonts w:ascii="Corbel" w:hAnsi="Corbel"/>
          <w:sz w:val="20"/>
          <w:szCs w:val="20"/>
        </w:rPr>
        <w:t>RA DE TÉRMINO:</w:t>
      </w:r>
      <w:r w:rsidR="00C81966">
        <w:rPr>
          <w:rFonts w:ascii="Corbel" w:hAnsi="Corbel"/>
          <w:sz w:val="20"/>
          <w:szCs w:val="20"/>
        </w:rPr>
        <w:t xml:space="preserve"> 19:00</w:t>
      </w:r>
    </w:p>
    <w:p w:rsidR="00FD0FA9" w:rsidRDefault="00FD0FA9" w:rsidP="009D7D7E">
      <w:pPr>
        <w:rPr>
          <w:rFonts w:ascii="Corbel" w:hAnsi="Corbel"/>
          <w:sz w:val="20"/>
          <w:szCs w:val="20"/>
          <w:u w:val="single"/>
        </w:rPr>
      </w:pPr>
    </w:p>
    <w:p w:rsidR="009D7D7E" w:rsidRPr="003675DB" w:rsidRDefault="009D7D7E" w:rsidP="009D7D7E">
      <w:pPr>
        <w:rPr>
          <w:rFonts w:ascii="Corbel" w:hAnsi="Corbel"/>
          <w:sz w:val="20"/>
          <w:szCs w:val="20"/>
        </w:rPr>
      </w:pPr>
      <w:r w:rsidRPr="00FD0FA9">
        <w:rPr>
          <w:rFonts w:ascii="Corbel" w:hAnsi="Corbel"/>
          <w:sz w:val="20"/>
          <w:szCs w:val="20"/>
          <w:u w:val="single"/>
        </w:rPr>
        <w:t>FIRMAS</w:t>
      </w:r>
      <w:r w:rsidRPr="003675DB">
        <w:rPr>
          <w:rFonts w:ascii="Corbel" w:hAnsi="Corbel"/>
          <w:sz w:val="20"/>
          <w:szCs w:val="20"/>
        </w:rPr>
        <w:t>:</w:t>
      </w:r>
    </w:p>
    <w:p w:rsidR="009D7D7E" w:rsidRPr="003675DB" w:rsidRDefault="009D7D7E" w:rsidP="009D7D7E">
      <w:pPr>
        <w:rPr>
          <w:rFonts w:ascii="Corbel" w:hAnsi="Corbel"/>
          <w:sz w:val="20"/>
          <w:szCs w:val="20"/>
        </w:rPr>
      </w:pPr>
    </w:p>
    <w:p w:rsidR="00C559CF" w:rsidRDefault="00C559CF"/>
    <w:sectPr w:rsidR="00C559CF" w:rsidSect="00FD0FA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FF" w:rsidRDefault="008747FF">
      <w:pPr>
        <w:spacing w:after="0" w:line="240" w:lineRule="auto"/>
      </w:pPr>
      <w:r>
        <w:separator/>
      </w:r>
    </w:p>
  </w:endnote>
  <w:endnote w:type="continuationSeparator" w:id="0">
    <w:p w:rsidR="008747FF" w:rsidRDefault="0087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14036"/>
      <w:docPartObj>
        <w:docPartGallery w:val="Page Numbers (Bottom of Page)"/>
        <w:docPartUnique/>
      </w:docPartObj>
    </w:sdtPr>
    <w:sdtEndPr/>
    <w:sdtContent>
      <w:p w:rsidR="00E0214B" w:rsidRDefault="00FD0FA9">
        <w:pPr>
          <w:pStyle w:val="Piedepgina"/>
          <w:jc w:val="right"/>
        </w:pPr>
        <w:r>
          <w:fldChar w:fldCharType="begin"/>
        </w:r>
        <w:r>
          <w:instrText>PAGE   \* MERGEFORMAT</w:instrText>
        </w:r>
        <w:r>
          <w:fldChar w:fldCharType="separate"/>
        </w:r>
        <w:r w:rsidR="00C81966" w:rsidRPr="00C81966">
          <w:rPr>
            <w:noProof/>
            <w:lang w:val="es-ES"/>
          </w:rPr>
          <w:t>1</w:t>
        </w:r>
        <w:r>
          <w:fldChar w:fldCharType="end"/>
        </w:r>
      </w:p>
    </w:sdtContent>
  </w:sdt>
  <w:p w:rsidR="00E0214B" w:rsidRDefault="008747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FF" w:rsidRDefault="008747FF">
      <w:pPr>
        <w:spacing w:after="0" w:line="240" w:lineRule="auto"/>
      </w:pPr>
      <w:r>
        <w:separator/>
      </w:r>
    </w:p>
  </w:footnote>
  <w:footnote w:type="continuationSeparator" w:id="0">
    <w:p w:rsidR="008747FF" w:rsidRDefault="00874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A5F"/>
    <w:multiLevelType w:val="hybridMultilevel"/>
    <w:tmpl w:val="D2361A28"/>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E2869B2"/>
    <w:multiLevelType w:val="hybridMultilevel"/>
    <w:tmpl w:val="40F67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5220ECC"/>
    <w:multiLevelType w:val="hybridMultilevel"/>
    <w:tmpl w:val="B3D0B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42D27C1"/>
    <w:multiLevelType w:val="hybridMultilevel"/>
    <w:tmpl w:val="4FE0C214"/>
    <w:lvl w:ilvl="0" w:tplc="38BCD2D2">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7B94EB3"/>
    <w:multiLevelType w:val="hybridMultilevel"/>
    <w:tmpl w:val="EE4A30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7E7328E"/>
    <w:multiLevelType w:val="hybridMultilevel"/>
    <w:tmpl w:val="1A1643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EC11245"/>
    <w:multiLevelType w:val="hybridMultilevel"/>
    <w:tmpl w:val="205CC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E"/>
    <w:rsid w:val="002D5196"/>
    <w:rsid w:val="002F282D"/>
    <w:rsid w:val="006209BC"/>
    <w:rsid w:val="006D0416"/>
    <w:rsid w:val="0071084D"/>
    <w:rsid w:val="008747FF"/>
    <w:rsid w:val="00912D58"/>
    <w:rsid w:val="009D7D7E"/>
    <w:rsid w:val="00B304D1"/>
    <w:rsid w:val="00C16D6D"/>
    <w:rsid w:val="00C559CF"/>
    <w:rsid w:val="00C81966"/>
    <w:rsid w:val="00D22590"/>
    <w:rsid w:val="00DC0B83"/>
    <w:rsid w:val="00DD6341"/>
    <w:rsid w:val="00E106D4"/>
    <w:rsid w:val="00FB2D16"/>
    <w:rsid w:val="00FD0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88</Words>
  <Characters>487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Muñoz Ramirez</dc:creator>
  <cp:keywords/>
  <dc:description/>
  <cp:lastModifiedBy>Fabiola Irrarazabal Bermudez</cp:lastModifiedBy>
  <cp:revision>12</cp:revision>
  <dcterms:created xsi:type="dcterms:W3CDTF">2017-06-08T13:23:00Z</dcterms:created>
  <dcterms:modified xsi:type="dcterms:W3CDTF">2019-04-24T20:57:00Z</dcterms:modified>
</cp:coreProperties>
</file>